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tabs>
          <w:tab w:val="left" w:leader="none" w:pos="4253"/>
          <w:tab w:val="right" w:leader="none" w:pos="5101"/>
        </w:tabs>
        <w:bidi/>
        <w:spacing w:after="0" w:lineRule="auto" w:line="240"/>
        <w:jc w:val="center"/>
        <w:rPr>
          <w:rFonts w:ascii="Sakkal Majalla" w:cs="Sakkal Majalla" w:hAnsi="Sakkal Majalla"/>
          <w:b/>
          <w:bCs/>
          <w:sz w:val="32"/>
          <w:szCs w:val="32"/>
          <w:rtl/>
          <w:lang w:bidi="ar-DZ"/>
        </w:rPr>
      </w:pPr>
      <w:r>
        <w:rPr>
          <w:rFonts w:ascii="Sakkal Majalla" w:cs="Sakkal Majalla" w:hAnsi="Sakkal Majalla" w:hint="cs"/>
          <w:b/>
          <w:bCs/>
          <w:sz w:val="32"/>
          <w:szCs w:val="32"/>
          <w:rtl/>
          <w:lang w:bidi="ar-DZ"/>
        </w:rPr>
        <w:t>الجمهورية الجزائرية الدّيمقراطية الشّعبية</w:t>
      </w:r>
    </w:p>
    <w:p>
      <w:pPr>
        <w:pStyle w:val="style0"/>
        <w:tabs>
          <w:tab w:val="left" w:leader="none" w:pos="4253"/>
        </w:tabs>
        <w:bidi/>
        <w:spacing w:after="0" w:lineRule="auto" w:line="240"/>
        <w:jc w:val="center"/>
        <w:rPr>
          <w:rFonts w:ascii="Sakkal Majalla" w:cs="Sakkal Majalla" w:hAnsi="Sakkal Majalla"/>
          <w:sz w:val="28"/>
          <w:szCs w:val="28"/>
          <w:rtl/>
          <w:lang w:bidi="ar-DZ"/>
        </w:rPr>
      </w:pPr>
      <w:r>
        <w:rPr>
          <w:rFonts w:ascii="Sakkal Majalla" w:cs="Sakkal Majalla" w:hAnsi="Sakkal Majalla" w:hint="cs"/>
          <w:b/>
          <w:bCs/>
          <w:sz w:val="32"/>
          <w:szCs w:val="32"/>
          <w:rtl/>
          <w:lang w:bidi="ar-DZ"/>
        </w:rPr>
        <w:t>وزارة التّربية الوطنية</w:t>
      </w:r>
    </w:p>
    <w:p>
      <w:pPr>
        <w:pStyle w:val="style0"/>
        <w:tabs>
          <w:tab w:val="left" w:leader="none" w:pos="4253"/>
        </w:tabs>
        <w:bidi/>
        <w:spacing w:after="0" w:lineRule="auto" w:line="240"/>
        <w:jc w:val="both"/>
        <w:rPr>
          <w:rFonts w:ascii="Sakkal Majalla" w:cs="Sakkal Majalla" w:hAnsi="Sakkal Majalla"/>
          <w:b/>
          <w:bCs/>
          <w:sz w:val="28"/>
          <w:szCs w:val="28"/>
          <w:rtl/>
          <w:lang w:bidi="ar-DZ"/>
        </w:rPr>
      </w:pP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>مديري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>ّ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>ة التّربي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>ّ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 xml:space="preserve">ة لولاية 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>......................................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 xml:space="preserve">           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  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 xml:space="preserve">                 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 xml:space="preserve">السّنة 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>الدّراسية:  2024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>/2025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 xml:space="preserve">            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 xml:space="preserve">                             </w:t>
      </w:r>
    </w:p>
    <w:p>
      <w:pPr>
        <w:pStyle w:val="style0"/>
        <w:tabs>
          <w:tab w:val="left" w:leader="none" w:pos="4253"/>
        </w:tabs>
        <w:bidi/>
        <w:spacing w:after="0" w:lineRule="auto" w:line="240"/>
        <w:jc w:val="both"/>
        <w:rPr>
          <w:rFonts w:ascii="Sakkal Majalla" w:cs="Sakkal Majalla" w:hAnsi="Sakkal Majalla"/>
          <w:sz w:val="28"/>
          <w:szCs w:val="28"/>
          <w:rtl/>
          <w:lang w:bidi="ar-DZ"/>
        </w:rPr>
      </w:pP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 xml:space="preserve">متوسّطة: </w:t>
      </w:r>
      <w:r>
        <w:rPr>
          <w:rFonts w:ascii="Sakkal Majalla" w:cs="Sakkal Majalla" w:hAnsi="Sakkal Majalla"/>
          <w:b/>
          <w:bCs/>
          <w:sz w:val="28"/>
          <w:szCs w:val="28"/>
          <w:lang w:bidi="ar-DZ"/>
        </w:rPr>
        <w:t xml:space="preserve"> 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>.....................................................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 xml:space="preserve">       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 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 xml:space="preserve">                       </w:t>
      </w:r>
      <w:r>
        <w:rPr>
          <w:rFonts w:ascii="Sakkal Majalla" w:cs="Sakkal Majalla" w:hAnsi="Sakkal Majalla"/>
          <w:b/>
          <w:bCs/>
          <w:sz w:val="28"/>
          <w:szCs w:val="28"/>
          <w:lang w:bidi="ar-DZ"/>
        </w:rPr>
        <w:t xml:space="preserve"> 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 xml:space="preserve"> المادّة التّعليمي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>ّ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>ة: رياضي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>ّ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>ات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 xml:space="preserve">             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 xml:space="preserve">    </w:t>
      </w:r>
    </w:p>
    <w:p>
      <w:pPr>
        <w:pStyle w:val="style0"/>
        <w:tabs>
          <w:tab w:val="left" w:leader="none" w:pos="4253"/>
        </w:tabs>
        <w:bidi/>
        <w:spacing w:after="0" w:lineRule="auto" w:line="240"/>
        <w:jc w:val="center"/>
        <w:rPr>
          <w:rFonts w:ascii="Sakkal Majalla" w:cs="Sakkal Majalla" w:hAnsi="Sakkal Majalla"/>
          <w:b/>
          <w:bCs/>
          <w:color w:val="c0504d"/>
          <w:sz w:val="32"/>
          <w:szCs w:val="32"/>
          <w:u w:val="single"/>
          <w:rtl/>
          <w:lang w:bidi="ar-DZ"/>
        </w:rPr>
      </w:pPr>
      <w:r>
        <w:rPr>
          <w:rFonts w:ascii="Sakkal Majalla" w:cs="Sakkal Majalla" w:hAnsi="Sakkal Majalla" w:hint="cs"/>
          <w:b/>
          <w:bCs/>
          <w:color w:val="c0504d"/>
          <w:sz w:val="32"/>
          <w:szCs w:val="32"/>
          <w:u w:val="single"/>
          <w:rtl/>
          <w:lang w:bidi="ar-DZ"/>
        </w:rPr>
        <w:t>التّقرير الوص</w:t>
      </w:r>
      <w:r>
        <w:rPr>
          <w:rFonts w:ascii="Sakkal Majalla" w:cs="Sakkal Majalla" w:hAnsi="Sakkal Majalla" w:hint="cs"/>
          <w:b/>
          <w:bCs/>
          <w:color w:val="c0504d"/>
          <w:sz w:val="32"/>
          <w:szCs w:val="32"/>
          <w:u w:val="single"/>
          <w:rtl/>
          <w:lang w:bidi="ar-DZ"/>
        </w:rPr>
        <w:t>في</w:t>
      </w:r>
      <w:r>
        <w:rPr>
          <w:rFonts w:ascii="Sakkal Majalla" w:cs="Sakkal Majalla" w:hAnsi="Sakkal Majalla" w:hint="cs"/>
          <w:b/>
          <w:bCs/>
          <w:color w:val="c0504d"/>
          <w:sz w:val="32"/>
          <w:szCs w:val="32"/>
          <w:u w:val="single"/>
          <w:rtl/>
          <w:lang w:bidi="ar-DZ"/>
        </w:rPr>
        <w:t>ّ</w:t>
      </w:r>
      <w:r>
        <w:rPr>
          <w:rFonts w:ascii="Sakkal Majalla" w:cs="Sakkal Majalla" w:hAnsi="Sakkal Majalla" w:hint="cs"/>
          <w:b/>
          <w:bCs/>
          <w:color w:val="c0504d"/>
          <w:sz w:val="32"/>
          <w:szCs w:val="32"/>
          <w:u w:val="single"/>
          <w:rtl/>
          <w:lang w:bidi="ar-DZ"/>
        </w:rPr>
        <w:t xml:space="preserve"> </w:t>
      </w:r>
      <w:r>
        <w:rPr>
          <w:rFonts w:ascii="Sakkal Majalla" w:cs="Sakkal Majalla" w:hAnsi="Sakkal Majalla" w:hint="cs"/>
          <w:b/>
          <w:bCs/>
          <w:color w:val="c0504d"/>
          <w:sz w:val="32"/>
          <w:szCs w:val="32"/>
          <w:u w:val="single"/>
          <w:rtl/>
          <w:lang w:bidi="ar-DZ"/>
        </w:rPr>
        <w:t>للفوج التّربوي</w:t>
      </w:r>
      <w:r>
        <w:rPr>
          <w:rFonts w:ascii="Sakkal Majalla" w:cs="Sakkal Majalla" w:hAnsi="Sakkal Majalla" w:hint="cs"/>
          <w:b/>
          <w:bCs/>
          <w:color w:val="c0504d"/>
          <w:sz w:val="32"/>
          <w:szCs w:val="32"/>
          <w:u w:val="single"/>
          <w:rtl/>
          <w:lang w:bidi="ar-DZ"/>
        </w:rPr>
        <w:t>ّ 1م</w:t>
      </w:r>
    </w:p>
    <w:p>
      <w:pPr>
        <w:pStyle w:val="style179"/>
        <w:numPr>
          <w:ilvl w:val="0"/>
          <w:numId w:val="2"/>
        </w:numPr>
        <w:tabs>
          <w:tab w:val="left" w:leader="none" w:pos="4253"/>
        </w:tabs>
        <w:bidi/>
        <w:spacing w:after="120" w:lineRule="auto" w:line="240"/>
        <w:jc w:val="both"/>
        <w:rPr>
          <w:rFonts w:ascii="Sakkal Majalla" w:cs="Sakkal Majalla" w:hAnsi="Sakkal Majalla"/>
          <w:b/>
          <w:bCs/>
          <w:color w:val="c0504d"/>
          <w:sz w:val="32"/>
          <w:szCs w:val="32"/>
          <w:u w:val="single"/>
          <w:lang w:bidi="ar-DZ"/>
        </w:rPr>
      </w:pPr>
      <w:r>
        <w:rPr>
          <w:rFonts w:ascii="Sakkal Majalla" w:cs="Sakkal Majalla" w:hAnsi="Sakkal Majalla" w:hint="cs"/>
          <w:b/>
          <w:bCs/>
          <w:color w:val="c0504d"/>
          <w:sz w:val="32"/>
          <w:szCs w:val="32"/>
          <w:u w:val="single"/>
          <w:rtl/>
          <w:lang w:bidi="ar-DZ"/>
        </w:rPr>
        <w:t xml:space="preserve">التّعيين الرّقمي </w:t>
      </w:r>
      <w:r>
        <w:rPr>
          <w:rFonts w:ascii="Sakkal Majalla" w:cs="Sakkal Majalla" w:hAnsi="Sakkal Majalla" w:hint="cs"/>
          <w:b/>
          <w:bCs/>
          <w:color w:val="c0504d"/>
          <w:sz w:val="32"/>
          <w:szCs w:val="32"/>
          <w:u w:val="single"/>
          <w:rtl/>
          <w:lang w:bidi="ar-DZ"/>
        </w:rPr>
        <w:t>للمعايير  ذات</w:t>
      </w:r>
      <w:r>
        <w:rPr>
          <w:rFonts w:ascii="Sakkal Majalla" w:cs="Sakkal Majalla" w:hAnsi="Sakkal Majalla" w:hint="cs"/>
          <w:b/>
          <w:bCs/>
          <w:color w:val="c0504d"/>
          <w:sz w:val="32"/>
          <w:szCs w:val="32"/>
          <w:u w:val="single"/>
          <w:rtl/>
          <w:lang w:bidi="ar-DZ"/>
        </w:rPr>
        <w:t xml:space="preserve"> الأداء المنخفض</w:t>
      </w:r>
      <w:r>
        <w:rPr>
          <w:rFonts w:ascii="Sakkal Majalla" w:cs="Sakkal Majalla" w:hAnsi="Sakkal Majalla" w:hint="cs"/>
          <w:b/>
          <w:bCs/>
          <w:color w:val="c0504d"/>
          <w:sz w:val="32"/>
          <w:szCs w:val="32"/>
          <w:u w:val="single"/>
          <w:rtl/>
          <w:lang w:bidi="ar-DZ"/>
        </w:rPr>
        <w:t>:</w:t>
      </w:r>
    </w:p>
    <w:tbl>
      <w:tblPr>
        <w:tblStyle w:val="style154"/>
        <w:bidiVisual/>
        <w:tblW w:w="0" w:type="auto"/>
        <w:tblInd w:w="106" w:type="dxa"/>
        <w:tblLook w:val="04A0" w:firstRow="1" w:lastRow="0" w:firstColumn="1" w:lastColumn="0" w:noHBand="0" w:noVBand="1"/>
      </w:tblPr>
      <w:tblGrid>
        <w:gridCol w:w="2746"/>
        <w:gridCol w:w="566"/>
        <w:gridCol w:w="566"/>
        <w:gridCol w:w="566"/>
        <w:gridCol w:w="567"/>
        <w:gridCol w:w="566"/>
        <w:gridCol w:w="566"/>
        <w:gridCol w:w="566"/>
        <w:gridCol w:w="566"/>
        <w:gridCol w:w="566"/>
        <w:gridCol w:w="468"/>
        <w:gridCol w:w="664"/>
        <w:gridCol w:w="566"/>
        <w:gridCol w:w="538"/>
        <w:gridCol w:w="567"/>
      </w:tblGrid>
      <w:tr>
        <w:trPr>
          <w:trHeight w:val="335" w:hRule="atLeast"/>
        </w:trPr>
        <w:tc>
          <w:tcPr>
            <w:tcW w:w="2746" w:type="dxa"/>
            <w:tcBorders/>
            <w:shd w:val="clear" w:color="auto" w:fill="f2f2f2"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الكفاءات</w:t>
            </w:r>
          </w:p>
        </w:tc>
        <w:tc>
          <w:tcPr>
            <w:tcW w:w="2265" w:type="dxa"/>
            <w:gridSpan w:val="4"/>
            <w:tcBorders/>
            <w:shd w:val="clear" w:color="auto" w:fill="f2f2f2"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الكفاءة الختامية 1</w:t>
            </w:r>
          </w:p>
        </w:tc>
        <w:tc>
          <w:tcPr>
            <w:tcW w:w="1698" w:type="dxa"/>
            <w:gridSpan w:val="3"/>
            <w:tcBorders/>
            <w:shd w:val="clear" w:color="auto" w:fill="f2f2f2"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الكفاءة الختامية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600" w:type="dxa"/>
            <w:gridSpan w:val="3"/>
            <w:tcBorders/>
            <w:shd w:val="clear" w:color="auto" w:fill="f2f2f2"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الكفاءة الختامية 3</w:t>
            </w:r>
          </w:p>
        </w:tc>
        <w:tc>
          <w:tcPr>
            <w:tcW w:w="2335" w:type="dxa"/>
            <w:gridSpan w:val="4"/>
            <w:tcBorders/>
            <w:shd w:val="clear" w:color="auto" w:fill="f2f2f2"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الكفاءة الختامية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</w:p>
        </w:tc>
      </w:tr>
      <w:tr>
        <w:tblPrEx/>
        <w:trPr>
          <w:trHeight w:val="318" w:hRule="atLeast"/>
        </w:trPr>
        <w:tc>
          <w:tcPr>
            <w:tcW w:w="2746" w:type="dxa"/>
            <w:tcBorders/>
            <w:shd w:val="clear" w:color="auto" w:fill="f2f2f2"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أرقام المعايير ذات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الأداء المنخفض</w:t>
            </w:r>
          </w:p>
        </w:tc>
        <w:tc>
          <w:tcPr>
            <w:tcW w:w="566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566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566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566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566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566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566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566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566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467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664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566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538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566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</w:tr>
    </w:tbl>
    <w:p>
      <w:pPr>
        <w:pStyle w:val="style179"/>
        <w:tabs>
          <w:tab w:val="left" w:leader="none" w:pos="4253"/>
        </w:tabs>
        <w:bidi/>
        <w:spacing w:lineRule="auto" w:line="240"/>
        <w:jc w:val="both"/>
        <w:rPr>
          <w:rFonts w:ascii="Sakkal Majalla" w:cs="Sakkal Majalla" w:hAnsi="Sakkal Majalla"/>
          <w:sz w:val="2"/>
          <w:szCs w:val="2"/>
          <w:rtl/>
          <w:lang w:bidi="ar-DZ"/>
        </w:rPr>
      </w:pPr>
    </w:p>
    <w:p>
      <w:pPr>
        <w:pStyle w:val="style179"/>
        <w:numPr>
          <w:ilvl w:val="0"/>
          <w:numId w:val="2"/>
        </w:numPr>
        <w:tabs>
          <w:tab w:val="left" w:leader="none" w:pos="4253"/>
        </w:tabs>
        <w:bidi/>
        <w:spacing w:lineRule="auto" w:line="240"/>
        <w:jc w:val="both"/>
        <w:rPr>
          <w:rFonts w:ascii="Sakkal Majalla" w:cs="Sakkal Majalla" w:hAnsi="Sakkal Majalla"/>
          <w:b/>
          <w:bCs/>
          <w:color w:val="c0504d"/>
          <w:sz w:val="32"/>
          <w:szCs w:val="32"/>
          <w:u w:val="single"/>
          <w:lang w:bidi="ar-DZ"/>
        </w:rPr>
      </w:pPr>
      <w:r>
        <w:rPr>
          <w:rFonts w:ascii="Sakkal Majalla" w:cs="Sakkal Majalla" w:hAnsi="Sakkal Majalla" w:hint="cs"/>
          <w:b/>
          <w:bCs/>
          <w:color w:val="c0504d"/>
          <w:sz w:val="32"/>
          <w:szCs w:val="32"/>
          <w:u w:val="single"/>
          <w:rtl/>
          <w:lang w:bidi="ar-DZ"/>
        </w:rPr>
        <w:t>التّعيين التّوصيفي للمعايير ذات الأداء المنخفض:</w:t>
      </w:r>
    </w:p>
    <w:tbl>
      <w:tblPr>
        <w:tblStyle w:val="style154"/>
        <w:bidiVisual/>
        <w:tblW w:w="10633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992"/>
        <w:gridCol w:w="1281"/>
        <w:gridCol w:w="850"/>
        <w:gridCol w:w="709"/>
        <w:gridCol w:w="1429"/>
        <w:gridCol w:w="3828"/>
        <w:gridCol w:w="1544"/>
      </w:tblGrid>
      <w:tr>
        <w:trPr/>
        <w:tc>
          <w:tcPr>
            <w:tcW w:w="992" w:type="dxa"/>
            <w:tcBorders/>
            <w:shd w:val="clear" w:color="auto" w:fill="fef9f4"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رقم ونصّ الكفاءة</w:t>
            </w:r>
          </w:p>
        </w:tc>
        <w:tc>
          <w:tcPr>
            <w:tcW w:w="1281" w:type="dxa"/>
            <w:tcBorders/>
            <w:shd w:val="clear" w:color="auto" w:fill="fef9f4"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طبيعة الكفاءة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وفترة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التّكفّل</w:t>
            </w:r>
          </w:p>
        </w:tc>
        <w:tc>
          <w:tcPr>
            <w:tcW w:w="850" w:type="dxa"/>
            <w:tcBorders/>
            <w:shd w:val="clear" w:color="auto" w:fill="fef9f4"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نمط المعالجة</w:t>
            </w:r>
          </w:p>
        </w:tc>
        <w:tc>
          <w:tcPr>
            <w:tcW w:w="709" w:type="dxa"/>
            <w:tcBorders/>
            <w:shd w:val="clear" w:color="auto" w:fill="fef9f4"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رقم المعيار</w:t>
            </w:r>
          </w:p>
        </w:tc>
        <w:tc>
          <w:tcPr>
            <w:tcW w:w="1429" w:type="dxa"/>
            <w:tcBorders/>
            <w:shd w:val="clear" w:color="auto" w:fill="fef9f4"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توصيف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br/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المعيار</w:t>
            </w:r>
          </w:p>
        </w:tc>
        <w:tc>
          <w:tcPr>
            <w:tcW w:w="3828" w:type="dxa"/>
            <w:tcBorders>
              <w:top w:val="single" w:sz="4" w:space="0" w:color="auto"/>
              <w:right w:val="single" w:sz="4" w:space="0" w:color="auto"/>
            </w:tcBorders>
            <w:shd w:val="clear" w:color="auto" w:fill="fef9f4"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الم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ـــــــ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وارد المعرفية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br/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المتعلّقة بالمعي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ــــــ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ار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ef9f4"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أسماء التّلاميذ المتعثّرين</w:t>
            </w:r>
          </w:p>
        </w:tc>
      </w:tr>
      <w:tr>
        <w:tblPrEx/>
        <w:trPr/>
        <w:tc>
          <w:tcPr>
            <w:tcW w:w="992" w:type="dxa"/>
            <w:vMerge w:val="restart"/>
            <w:tcBorders/>
            <w:shd w:val="clear" w:color="auto" w:fill="fef9f4"/>
            <w:textDirection w:val="btLr"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28" w:right="-17"/>
              <w:jc w:val="center"/>
              <w:rPr>
                <w:rFonts w:ascii="Sakkal Majalla" w:cs="Sakkal Majalla" w:hAnsi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sz w:val="32"/>
                <w:szCs w:val="32"/>
                <w:rtl/>
                <w:lang w:bidi="ar-DZ"/>
              </w:rPr>
              <w:t>(</w:t>
            </w:r>
            <w:r>
              <w:rPr>
                <w:rFonts w:ascii="Sakkal Majalla" w:cs="Sakkal Majalla" w:hAnsi="Sakkal Majalla" w:hint="cs"/>
                <w:sz w:val="32"/>
                <w:szCs w:val="32"/>
                <w:rtl/>
                <w:lang w:bidi="ar-DZ"/>
              </w:rPr>
              <w:t>1)ا</w:t>
            </w:r>
            <w:r>
              <w:rPr>
                <w:rFonts w:ascii="Sakkal Majalla" w:cs="Sakkal Majalla" w:hAnsi="Sakkal Majalla" w:hint="cs"/>
                <w:sz w:val="32"/>
                <w:szCs w:val="32"/>
                <w:rtl/>
                <w:lang w:bidi="ar-DZ"/>
              </w:rPr>
              <w:t>لتّحكم</w:t>
            </w:r>
            <w:r>
              <w:rPr>
                <w:rFonts w:ascii="Sakkal Majalla" w:cs="Sakkal Majalla" w:hAnsi="Sakkal Majalla" w:hint="cs"/>
                <w:sz w:val="32"/>
                <w:szCs w:val="32"/>
                <w:rtl/>
                <w:lang w:bidi="ar-DZ"/>
              </w:rPr>
              <w:t xml:space="preserve"> في نظام </w:t>
            </w:r>
            <w:r>
              <w:rPr>
                <w:rFonts w:ascii="Sakkal Majalla" w:cs="Sakkal Majalla" w:hAnsi="Sakkal Majalla" w:hint="cs"/>
                <w:sz w:val="32"/>
                <w:szCs w:val="32"/>
                <w:rtl/>
                <w:lang w:bidi="ar-DZ"/>
              </w:rPr>
              <w:t>العدّ والحساب</w:t>
            </w:r>
          </w:p>
        </w:tc>
        <w:tc>
          <w:tcPr>
            <w:tcW w:w="1281" w:type="dxa"/>
            <w:vMerge w:val="restart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كفاءة ممتدّة تتمّ معالجتها في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بداية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السّنة</w:t>
            </w:r>
          </w:p>
        </w:tc>
        <w:tc>
          <w:tcPr>
            <w:tcW w:w="850" w:type="dxa"/>
            <w:vMerge w:val="restart"/>
            <w:tcBorders/>
            <w:textDirection w:val="btLr"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DZ"/>
              </w:rPr>
              <w:t>التّفويج</w:t>
            </w: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وتوظيف استراتيجيّات التّعلّم </w:t>
            </w: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DZ"/>
              </w:rPr>
              <w:t>النّشط  والتّغذية</w:t>
            </w: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الرّاجعة</w:t>
            </w:r>
          </w:p>
        </w:tc>
        <w:tc>
          <w:tcPr>
            <w:tcW w:w="709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Cambria Math" w:cs="Cambria Math" w:hAnsi="Cambria Math" w:hint="cs"/>
                <w:sz w:val="24"/>
                <w:szCs w:val="24"/>
                <w:rtl/>
                <w:lang w:bidi="ar-DZ"/>
              </w:rPr>
              <w:t>①</w:t>
            </w:r>
          </w:p>
        </w:tc>
        <w:tc>
          <w:tcPr>
            <w:tcW w:w="1429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مقارنة،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ترتيب وحصر أعداد عشرية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tcFitText w:val="false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قراءة الأعداد العشرية وكتابتها ومقارنتها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_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التّميييز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بين الجزء العشري والجزء الصّحيح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إدراج أعداد عشرية بين عددين عشريين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تجنيد العمليات المناسبة على الأعداد العشرية لحلّ مشكلات</w:t>
            </w:r>
          </w:p>
        </w:tc>
        <w:tc>
          <w:tcPr>
            <w:tcW w:w="1544" w:type="dxa"/>
            <w:tcBorders>
              <w:left w:val="single" w:sz="4" w:space="0" w:color="auto"/>
            </w:tcBorders>
            <w:tcFitText w:val="false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- عياد محمد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-عطاف عمر 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-سليماني مروة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كرفاح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عصام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-طيباوي رضا</w:t>
            </w:r>
          </w:p>
        </w:tc>
      </w:tr>
      <w:tr>
        <w:tblPrEx/>
        <w:trPr/>
        <w:tc>
          <w:tcPr>
            <w:tcW w:w="992" w:type="dxa"/>
            <w:vMerge w:val="continue"/>
            <w:tcBorders/>
            <w:shd w:val="clear" w:color="auto" w:fill="fef9f4"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281" w:type="dxa"/>
            <w:vMerge w:val="continue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709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Calibri" w:cs="Calibri" w:hAnsi="Calibri"/>
                <w:sz w:val="24"/>
                <w:szCs w:val="24"/>
                <w:rtl/>
                <w:lang w:bidi="ar-DZ"/>
              </w:rPr>
              <w:t>②</w:t>
            </w:r>
          </w:p>
        </w:tc>
        <w:tc>
          <w:tcPr>
            <w:tcW w:w="1429" w:type="dxa"/>
            <w:tcBorders/>
            <w:tcFitText w:val="false"/>
            <w:vAlign w:val="center"/>
          </w:tcPr>
          <w:p>
            <w:pPr>
              <w:pStyle w:val="style0"/>
              <w:tabs>
                <w:tab w:val="left" w:leader="none" w:pos="4253"/>
              </w:tabs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استعمال الكسور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tcFitText w:val="false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استعمال كسور ومجاميع أعداد طبيعية لترميز نتيجة قياس أطوال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_ استعمال كسور لترميز مساحات في وضعيات بسيطة 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استعمال الكتابات المختلفة في الكسور لحل مشكل</w:t>
            </w:r>
          </w:p>
        </w:tc>
        <w:tc>
          <w:tcPr>
            <w:tcW w:w="1544" w:type="dxa"/>
            <w:tcBorders>
              <w:left w:val="single" w:sz="4" w:space="0" w:color="auto"/>
            </w:tcBorders>
            <w:tcFitText w:val="false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>
        <w:tblPrEx/>
        <w:trPr>
          <w:trHeight w:val="810" w:hRule="atLeast"/>
        </w:trPr>
        <w:tc>
          <w:tcPr>
            <w:tcW w:w="992" w:type="dxa"/>
            <w:vMerge w:val="continue"/>
            <w:tcBorders/>
            <w:shd w:val="clear" w:color="auto" w:fill="fef9f4"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281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كفاءة ممتدّة</w:t>
            </w: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709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Calibri" w:cs="Calibri" w:hAnsi="Calibri"/>
                <w:sz w:val="24"/>
                <w:szCs w:val="24"/>
                <w:rtl/>
                <w:lang w:bidi="ar-DZ"/>
              </w:rPr>
              <w:t>③</w:t>
            </w:r>
          </w:p>
        </w:tc>
        <w:tc>
          <w:tcPr>
            <w:tcW w:w="1429" w:type="dxa"/>
            <w:tcBorders/>
            <w:tcFitText w:val="false"/>
            <w:vAlign w:val="center"/>
          </w:tcPr>
          <w:p>
            <w:pPr>
              <w:pStyle w:val="style0"/>
              <w:tabs>
                <w:tab w:val="left" w:leader="none" w:pos="4253"/>
              </w:tabs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إنجاز العمليات الأربع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tcFitText w:val="false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إنجاز عمليات: الجمع، الطّرح، الضّرب والقسمة في الأعداد الطّبيعية والأعداد العشرية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_ الحساب: الذّهني،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الأداتي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والمتمعّن فيه</w:t>
            </w:r>
          </w:p>
        </w:tc>
        <w:tc>
          <w:tcPr>
            <w:tcW w:w="1544" w:type="dxa"/>
            <w:tcBorders>
              <w:left w:val="single" w:sz="4" w:space="0" w:color="auto"/>
            </w:tcBorders>
            <w:tcFitText w:val="false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>
        <w:tblPrEx/>
        <w:trPr/>
        <w:tc>
          <w:tcPr>
            <w:tcW w:w="992" w:type="dxa"/>
            <w:vMerge w:val="continue"/>
            <w:tcBorders/>
            <w:shd w:val="clear" w:color="auto" w:fill="fef9f4"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281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معالجة آنية</w:t>
            </w: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709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Calibri" w:cs="Calibri" w:hAnsi="Calibri"/>
                <w:sz w:val="24"/>
                <w:szCs w:val="24"/>
                <w:rtl/>
                <w:lang w:bidi="ar-DZ"/>
              </w:rPr>
              <w:t>④</w:t>
            </w:r>
          </w:p>
        </w:tc>
        <w:tc>
          <w:tcPr>
            <w:tcW w:w="1429" w:type="dxa"/>
            <w:tcBorders/>
            <w:tcFitText w:val="false"/>
            <w:vAlign w:val="center"/>
          </w:tcPr>
          <w:p>
            <w:pPr>
              <w:pStyle w:val="style0"/>
              <w:tabs>
                <w:tab w:val="left" w:leader="none" w:pos="4253"/>
              </w:tabs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التّبليغ باللّغة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الرّياضياتيّة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tcFitText w:val="false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التّفسير السّليم للوضعية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 تقديم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الإجابة الكاملة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استعمال الوحدات أو التّرميز المناسب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تنظيم الورقة</w:t>
            </w:r>
          </w:p>
        </w:tc>
        <w:tc>
          <w:tcPr>
            <w:tcW w:w="1544" w:type="dxa"/>
            <w:tcBorders>
              <w:left w:val="single" w:sz="4" w:space="0" w:color="auto"/>
            </w:tcBorders>
            <w:tcFitText w:val="false"/>
          </w:tcPr>
          <w:p>
            <w:pPr>
              <w:pStyle w:val="style0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>
            <w:pPr>
              <w:pStyle w:val="style0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>
            <w:pPr>
              <w:pStyle w:val="style0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>
        <w:tblPrEx/>
        <w:trPr/>
        <w:tc>
          <w:tcPr>
            <w:tcW w:w="992" w:type="dxa"/>
            <w:vMerge w:val="restart"/>
            <w:tcBorders/>
            <w:shd w:val="clear" w:color="auto" w:fill="fef9f4"/>
            <w:textDirection w:val="btLr"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141" w:right="113" w:hanging="28"/>
              <w:jc w:val="center"/>
              <w:rPr>
                <w:rFonts w:ascii="Sakkal Majalla" w:cs="Sakkal Majalla" w:hAnsi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Sakkal Majalla" w:cs="Sakkal Majalla" w:hAnsi="Sakkal Majalla" w:hint="cs"/>
                <w:sz w:val="28"/>
                <w:szCs w:val="28"/>
                <w:rtl/>
                <w:lang w:bidi="ar-DZ"/>
              </w:rPr>
              <w:t>2)التّحكّم</w:t>
            </w:r>
            <w:r>
              <w:rPr>
                <w:rFonts w:ascii="Sakkal Majalla" w:cs="Sakkal Majalla" w:hAnsi="Sakkal Majalla" w:hint="cs"/>
                <w:sz w:val="28"/>
                <w:szCs w:val="28"/>
                <w:rtl/>
                <w:lang w:bidi="ar-DZ"/>
              </w:rPr>
              <w:t xml:space="preserve"> في المصطلحات وفي استعمال الأدوات الهندسية</w:t>
            </w:r>
          </w:p>
        </w:tc>
        <w:tc>
          <w:tcPr>
            <w:tcW w:w="1281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كفاءة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مرحلية  تتمّ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معالجتها في بداية المقطع</w:t>
            </w:r>
          </w:p>
        </w:tc>
        <w:tc>
          <w:tcPr>
            <w:tcW w:w="850" w:type="dxa"/>
            <w:vMerge w:val="restart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sz w:val="32"/>
                <w:szCs w:val="32"/>
                <w:rtl/>
                <w:lang w:bidi="ar-DZ"/>
              </w:rPr>
              <w:t>//</w:t>
            </w:r>
          </w:p>
        </w:tc>
        <w:tc>
          <w:tcPr>
            <w:tcW w:w="709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Cambria Math" w:cs="Cambria Math" w:hAnsi="Cambria Math" w:hint="cs"/>
                <w:sz w:val="24"/>
                <w:szCs w:val="24"/>
                <w:rtl/>
                <w:lang w:bidi="ar-DZ"/>
              </w:rPr>
              <w:t>①</w:t>
            </w:r>
          </w:p>
        </w:tc>
        <w:tc>
          <w:tcPr>
            <w:tcW w:w="1429" w:type="dxa"/>
            <w:tcBorders/>
            <w:tcFitText w:val="false"/>
            <w:vAlign w:val="center"/>
          </w:tcPr>
          <w:p>
            <w:pPr>
              <w:pStyle w:val="style0"/>
              <w:tabs>
                <w:tab w:val="left" w:leader="none" w:pos="4253"/>
              </w:tabs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التّمييز بين أشكال مألوفة وفق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خواصها الهندسية، أو باستعمال أدوات هندسية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tcFitText w:val="false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_ التّعرّف على الأشكال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الهندسية( المربّع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، المثلّث، المستطيل، الدّائرة ، المعيّن)وخواصها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_توظيف خوص هذه الأشكال للتّعرّف عليها أو وصفها، أو نقلها أو للتّمييز بينها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44" w:type="dxa"/>
            <w:tcBorders>
              <w:left w:val="single" w:sz="4" w:space="0" w:color="auto"/>
            </w:tcBorders>
            <w:tcFitText w:val="false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>
        <w:tblPrEx/>
        <w:trPr/>
        <w:tc>
          <w:tcPr>
            <w:tcW w:w="992" w:type="dxa"/>
            <w:vMerge w:val="continue"/>
            <w:tcBorders/>
            <w:shd w:val="clear" w:color="auto" w:fill="fef9f4"/>
            <w:tcFitText w:val="false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281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كفاءة ممتدّة تتمّ معالجتها في بداية السّنة</w:t>
            </w:r>
          </w:p>
        </w:tc>
        <w:tc>
          <w:tcPr>
            <w:tcW w:w="850" w:type="dxa"/>
            <w:vMerge w:val="continue"/>
            <w:tcBorders/>
            <w:tcFitText w:val="false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709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Calibri" w:cs="Calibri" w:hAnsi="Calibri"/>
                <w:sz w:val="24"/>
                <w:szCs w:val="24"/>
                <w:rtl/>
                <w:lang w:bidi="ar-DZ"/>
              </w:rPr>
              <w:t>②</w:t>
            </w:r>
          </w:p>
        </w:tc>
        <w:tc>
          <w:tcPr>
            <w:tcW w:w="1429" w:type="dxa"/>
            <w:tcBorders/>
            <w:tcFitText w:val="false"/>
            <w:vAlign w:val="center"/>
          </w:tcPr>
          <w:p>
            <w:pPr>
              <w:pStyle w:val="style0"/>
              <w:tabs>
                <w:tab w:val="left" w:leader="none" w:pos="4253"/>
              </w:tabs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رسم شكل هندسي انطلاقا من برنامج إنشاء أو أنموذج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tcFitText w:val="false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استعمال الأدوات الهندسية لإنشاء شكل هندسي بالاعتماد على خواصه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رسم شكل مماثل لشكل مُعطى باستعمال المسطرة والكوس والمدور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ربط برنامج إنشاء أو تنفيذ برنامج شكل</w:t>
            </w:r>
          </w:p>
        </w:tc>
        <w:tc>
          <w:tcPr>
            <w:tcW w:w="1544" w:type="dxa"/>
            <w:tcBorders>
              <w:left w:val="single" w:sz="4" w:space="0" w:color="auto"/>
            </w:tcBorders>
            <w:tcFitText w:val="false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sz w:val="32"/>
                <w:szCs w:val="32"/>
                <w:rtl/>
                <w:lang w:bidi="ar-DZ"/>
              </w:rPr>
            </w:pPr>
          </w:p>
        </w:tc>
      </w:tr>
      <w:tr>
        <w:tblPrEx/>
        <w:trPr>
          <w:trHeight w:val="123" w:hRule="atLeast"/>
        </w:trPr>
        <w:tc>
          <w:tcPr>
            <w:tcW w:w="992" w:type="dxa"/>
            <w:vMerge w:val="continue"/>
            <w:tcBorders/>
            <w:shd w:val="clear" w:color="auto" w:fill="fef9f4"/>
            <w:tcFitText w:val="false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281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معالجة آنية</w:t>
            </w:r>
          </w:p>
        </w:tc>
        <w:tc>
          <w:tcPr>
            <w:tcW w:w="850" w:type="dxa"/>
            <w:tcBorders>
              <w:top w:val="nil"/>
            </w:tcBorders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sz w:val="32"/>
                <w:szCs w:val="32"/>
                <w:rtl/>
                <w:lang w:bidi="ar-DZ"/>
              </w:rPr>
              <w:t>//</w:t>
            </w:r>
          </w:p>
        </w:tc>
        <w:tc>
          <w:tcPr>
            <w:tcW w:w="709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Calibri" w:cs="Calibri" w:hAnsi="Calibri"/>
                <w:sz w:val="24"/>
                <w:szCs w:val="24"/>
                <w:rtl/>
                <w:lang w:bidi="ar-DZ"/>
              </w:rPr>
              <w:t>③</w:t>
            </w:r>
          </w:p>
        </w:tc>
        <w:tc>
          <w:tcPr>
            <w:tcW w:w="1429" w:type="dxa"/>
            <w:tcBorders/>
            <w:tcFitText w:val="false"/>
            <w:vAlign w:val="center"/>
          </w:tcPr>
          <w:p>
            <w:pPr>
              <w:pStyle w:val="style0"/>
              <w:tabs>
                <w:tab w:val="left" w:leader="none" w:pos="4253"/>
              </w:tabs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التّبليغ باللّغة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الرّياضياتيّة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tcFitText w:val="false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التّفسير السّليم للوضعية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 تقديم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الإجابة الكاملة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استعمال الوحدات أو التّرميز المناسب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تنظيم الورقة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544" w:type="dxa"/>
            <w:tcBorders>
              <w:left w:val="single" w:sz="4" w:space="0" w:color="auto"/>
            </w:tcBorders>
            <w:tcFitText w:val="false"/>
          </w:tcPr>
          <w:p>
            <w:pPr>
              <w:pStyle w:val="style0"/>
              <w:rPr>
                <w:rFonts w:ascii="Sakkal Majalla" w:cs="Sakkal Majalla" w:hAnsi="Sakkal Majalla"/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  <w:p>
            <w:pPr>
              <w:pStyle w:val="style0"/>
              <w:rPr>
                <w:rFonts w:ascii="Sakkal Majalla" w:cs="Sakkal Majalla" w:hAnsi="Sakkal Majalla"/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</w:tc>
      </w:tr>
      <w:tr>
        <w:tblPrEx/>
        <w:trPr/>
        <w:tc>
          <w:tcPr>
            <w:tcW w:w="992" w:type="dxa"/>
            <w:vMerge w:val="restart"/>
            <w:tcBorders/>
            <w:shd w:val="clear" w:color="auto" w:fill="fef9f4"/>
            <w:textDirection w:val="btLr"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113" w:right="113"/>
              <w:jc w:val="center"/>
              <w:rPr>
                <w:rFonts w:ascii="Sakkal Majalla" w:cs="Sakkal Majalla" w:hAnsi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sz w:val="32"/>
                <w:szCs w:val="32"/>
                <w:rtl/>
                <w:lang w:bidi="ar-DZ"/>
              </w:rPr>
              <w:t>(</w:t>
            </w:r>
            <w:r>
              <w:rPr>
                <w:rFonts w:ascii="Sakkal Majalla" w:cs="Sakkal Majalla" w:hAnsi="Sakkal Majalla" w:hint="cs"/>
                <w:sz w:val="32"/>
                <w:szCs w:val="32"/>
                <w:rtl/>
                <w:lang w:bidi="ar-DZ"/>
              </w:rPr>
              <w:t>3)</w:t>
            </w:r>
            <w:r>
              <w:rPr>
                <w:rFonts w:ascii="Sakkal Majalla" w:cs="Sakkal Majalla" w:hAnsi="Sakkal Majalla" w:hint="cs"/>
                <w:sz w:val="32"/>
                <w:szCs w:val="32"/>
                <w:rtl/>
                <w:lang w:bidi="ar-DZ"/>
              </w:rPr>
              <w:t>التّحكّم</w:t>
            </w:r>
            <w:r>
              <w:rPr>
                <w:rFonts w:ascii="Sakkal Majalla" w:cs="Sakkal Majalla" w:hAnsi="Sakkal Majalla" w:hint="cs"/>
                <w:sz w:val="32"/>
                <w:szCs w:val="32"/>
                <w:rtl/>
                <w:lang w:bidi="ar-DZ"/>
              </w:rPr>
              <w:t xml:space="preserve"> في المقادير والقياس</w:t>
            </w:r>
          </w:p>
        </w:tc>
        <w:tc>
          <w:tcPr>
            <w:tcW w:w="1281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كفاءة مرحلية، تتمّ معالجتها في بداية المقطع</w:t>
            </w:r>
          </w:p>
        </w:tc>
        <w:tc>
          <w:tcPr>
            <w:tcW w:w="850" w:type="dxa"/>
            <w:vMerge w:val="restart"/>
            <w:tcBorders/>
            <w:textDirection w:val="btLr"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DZ"/>
              </w:rPr>
              <w:t>التّفويج</w:t>
            </w: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وتوظيف استراتيجيّات التّعلّم </w:t>
            </w: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DZ"/>
              </w:rPr>
              <w:t>النّشط  والتّغذية</w:t>
            </w: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الرّاجعة</w:t>
            </w:r>
          </w:p>
        </w:tc>
        <w:tc>
          <w:tcPr>
            <w:tcW w:w="709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Cambria Math" w:cs="Cambria Math" w:hAnsi="Cambria Math" w:hint="cs"/>
                <w:sz w:val="24"/>
                <w:szCs w:val="24"/>
                <w:rtl/>
                <w:lang w:bidi="ar-DZ"/>
              </w:rPr>
              <w:t>①</w:t>
            </w:r>
          </w:p>
        </w:tc>
        <w:tc>
          <w:tcPr>
            <w:tcW w:w="1429" w:type="dxa"/>
            <w:tcBorders/>
            <w:tcFitText w:val="false"/>
            <w:vAlign w:val="center"/>
          </w:tcPr>
          <w:p>
            <w:pPr>
              <w:pStyle w:val="style0"/>
              <w:tabs>
                <w:tab w:val="left" w:leader="none" w:pos="4253"/>
              </w:tabs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حساب أطوال، محيطات، مساحات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tcFitText w:val="false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التّمييز بين المحيط والمساحة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اختيار الأداة الملائمة والوحدات المناسبة لقياس طول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مقارنة مساحات دون استعمال الوحدات ثمّ استعمال الوحدات لحساب مساحات</w:t>
            </w:r>
          </w:p>
        </w:tc>
        <w:tc>
          <w:tcPr>
            <w:tcW w:w="1544" w:type="dxa"/>
            <w:tcBorders>
              <w:left w:val="single" w:sz="4" w:space="0" w:color="auto"/>
            </w:tcBorders>
            <w:tcFitText w:val="false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>
        <w:tblPrEx/>
        <w:trPr/>
        <w:tc>
          <w:tcPr>
            <w:tcW w:w="992" w:type="dxa"/>
            <w:vMerge w:val="continue"/>
            <w:tcBorders/>
            <w:shd w:val="clear" w:color="auto" w:fill="fef9f4"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281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كفاءة ممتدّة تتمّ معالجتها في بداية السّنة</w:t>
            </w: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709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Calibri" w:cs="Calibri" w:hAnsi="Calibri"/>
                <w:sz w:val="24"/>
                <w:szCs w:val="24"/>
                <w:rtl/>
                <w:lang w:bidi="ar-DZ"/>
              </w:rPr>
              <w:t>②</w:t>
            </w:r>
          </w:p>
        </w:tc>
        <w:tc>
          <w:tcPr>
            <w:tcW w:w="1429" w:type="dxa"/>
            <w:tcBorders/>
            <w:tcFitText w:val="false"/>
            <w:vAlign w:val="center"/>
          </w:tcPr>
          <w:p>
            <w:pPr>
              <w:pStyle w:val="style0"/>
              <w:tabs>
                <w:tab w:val="left" w:leader="none" w:pos="4253"/>
              </w:tabs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استعمال العلاقات بين مختلف وحدات القياس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tcFitText w:val="false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التّمييز بين وحدات قياس الأطوال والسّعات والكُتل والمُدد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إجراء تحويلات على وحدات القياس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استعمال جدول الأطوال والسّعات والكُتل والمُدد</w:t>
            </w:r>
          </w:p>
        </w:tc>
        <w:tc>
          <w:tcPr>
            <w:tcW w:w="1544" w:type="dxa"/>
            <w:tcBorders>
              <w:left w:val="single" w:sz="4" w:space="0" w:color="auto"/>
            </w:tcBorders>
            <w:tcFitText w:val="false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>
        <w:tblPrEx/>
        <w:trPr>
          <w:trHeight w:val="1216" w:hRule="atLeast"/>
        </w:trPr>
        <w:tc>
          <w:tcPr>
            <w:tcW w:w="992" w:type="dxa"/>
            <w:vMerge w:val="continue"/>
            <w:tcBorders/>
            <w:shd w:val="clear" w:color="auto" w:fill="fef9f4"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281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كفاءة ممتدّة تتمّ معالجتها في بداية السّنة</w:t>
            </w: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709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Calibri" w:cs="Calibri" w:hAnsi="Calibri"/>
                <w:sz w:val="24"/>
                <w:szCs w:val="24"/>
                <w:rtl/>
                <w:lang w:bidi="ar-DZ"/>
              </w:rPr>
              <w:t>③</w:t>
            </w:r>
          </w:p>
        </w:tc>
        <w:tc>
          <w:tcPr>
            <w:tcW w:w="1429" w:type="dxa"/>
            <w:tcBorders/>
            <w:tcFitText w:val="false"/>
            <w:vAlign w:val="center"/>
          </w:tcPr>
          <w:p>
            <w:pPr>
              <w:pStyle w:val="style0"/>
              <w:tabs>
                <w:tab w:val="left" w:leader="none" w:pos="4253"/>
              </w:tabs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التبليغ باللّغة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الرّياضياتيّة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tcFitText w:val="false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التّفسير السّليم للوضعية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 تقديم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الإجابة الكاملة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استعمال الوحدات أو التّرميز المناسب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color w:val="ff0000"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تنظيم الورقة</w:t>
            </w:r>
          </w:p>
        </w:tc>
        <w:tc>
          <w:tcPr>
            <w:tcW w:w="1544" w:type="dxa"/>
            <w:tcBorders>
              <w:left w:val="single" w:sz="4" w:space="0" w:color="auto"/>
            </w:tcBorders>
            <w:tcFitText w:val="false"/>
          </w:tcPr>
          <w:p>
            <w:pPr>
              <w:pStyle w:val="style0"/>
              <w:rPr>
                <w:rFonts w:ascii="Sakkal Majalla" w:cs="Sakkal Majalla" w:hAnsi="Sakkal Majalla"/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  <w:p>
            <w:pPr>
              <w:pStyle w:val="style0"/>
              <w:rPr>
                <w:rFonts w:ascii="Sakkal Majalla" w:cs="Sakkal Majalla" w:hAnsi="Sakkal Majalla"/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</w:tc>
      </w:tr>
      <w:tr>
        <w:tblPrEx/>
        <w:trPr/>
        <w:tc>
          <w:tcPr>
            <w:tcW w:w="992" w:type="dxa"/>
            <w:vMerge w:val="restart"/>
            <w:tcBorders/>
            <w:shd w:val="clear" w:color="auto" w:fill="fef9f4"/>
            <w:textDirection w:val="btLr"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113" w:right="113"/>
              <w:jc w:val="center"/>
              <w:rPr>
                <w:rFonts w:ascii="Sakkal Majalla" w:cs="Sakkal Majalla" w:hAnsi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sz w:val="32"/>
                <w:szCs w:val="32"/>
                <w:rtl/>
                <w:lang w:bidi="ar-DZ"/>
              </w:rPr>
              <w:t xml:space="preserve">(4) </w:t>
            </w:r>
            <w:r>
              <w:rPr>
                <w:rFonts w:ascii="Sakkal Majalla" w:cs="Sakkal Majalla" w:hAnsi="Sakkal Majalla" w:hint="cs"/>
                <w:sz w:val="32"/>
                <w:szCs w:val="32"/>
                <w:rtl/>
                <w:lang w:bidi="ar-DZ"/>
              </w:rPr>
              <w:t>تنظيم معطيات</w:t>
            </w:r>
          </w:p>
        </w:tc>
        <w:tc>
          <w:tcPr>
            <w:tcW w:w="1281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كفاءة مرحلية متعلّقة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بالميدان،  تتمّ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معالجتها في بداية المقطع</w:t>
            </w:r>
          </w:p>
        </w:tc>
        <w:tc>
          <w:tcPr>
            <w:tcW w:w="850" w:type="dxa"/>
            <w:vMerge w:val="restart"/>
            <w:tcBorders/>
            <w:textDirection w:val="btLr"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DZ"/>
              </w:rPr>
              <w:t>التّفويج</w:t>
            </w: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وتوظيف استراتيجيّات التّعلّم </w:t>
            </w: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DZ"/>
              </w:rPr>
              <w:t>النّشط  والتّغذية</w:t>
            </w: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الرّاجعة</w:t>
            </w:r>
          </w:p>
        </w:tc>
        <w:tc>
          <w:tcPr>
            <w:tcW w:w="709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Cambria Math" w:cs="Cambria Math" w:hAnsi="Cambria Math" w:hint="cs"/>
                <w:sz w:val="24"/>
                <w:szCs w:val="24"/>
                <w:rtl/>
                <w:lang w:bidi="ar-DZ"/>
              </w:rPr>
              <w:t>①</w:t>
            </w:r>
          </w:p>
        </w:tc>
        <w:tc>
          <w:tcPr>
            <w:tcW w:w="1429" w:type="dxa"/>
            <w:tcBorders/>
            <w:tcFitText w:val="false"/>
            <w:vAlign w:val="center"/>
          </w:tcPr>
          <w:p>
            <w:pPr>
              <w:pStyle w:val="style0"/>
              <w:tabs>
                <w:tab w:val="left" w:leader="none" w:pos="4253"/>
              </w:tabs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استخراج، تنظيم، تمثيل معطيات واستغلالها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tcFitText w:val="false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قراءة وا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ستعمال المعلومات المعطاة في قوائ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م أو في جداول أو مخطّطات أو صور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_ استعمال استدلالات شخصية لحلّ مشكلات باستعمال معطيات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عددية(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معطاة في قوائم أو في جداول أو في مخطّطات أو صور)</w:t>
            </w:r>
          </w:p>
        </w:tc>
        <w:tc>
          <w:tcPr>
            <w:tcW w:w="1544" w:type="dxa"/>
            <w:tcBorders>
              <w:left w:val="single" w:sz="4" w:space="0" w:color="auto"/>
            </w:tcBorders>
            <w:tcFitText w:val="false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>
        <w:tblPrEx/>
        <w:trPr>
          <w:trHeight w:val="862" w:hRule="atLeast"/>
        </w:trPr>
        <w:tc>
          <w:tcPr>
            <w:tcW w:w="992" w:type="dxa"/>
            <w:vMerge w:val="continue"/>
            <w:tcBorders/>
            <w:shd w:val="clear" w:color="auto" w:fill="fef9f4"/>
            <w:tcFitText w:val="false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281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كفاءة ممتدّة، تتمّ معالجتها في بداية السّنة</w:t>
            </w:r>
          </w:p>
        </w:tc>
        <w:tc>
          <w:tcPr>
            <w:tcW w:w="850" w:type="dxa"/>
            <w:vMerge w:val="continue"/>
            <w:tcBorders/>
            <w:tcFitText w:val="false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709" w:type="dxa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Calibri" w:cs="Calibri" w:hAnsi="Calibri"/>
                <w:sz w:val="24"/>
                <w:szCs w:val="24"/>
                <w:rtl/>
                <w:lang w:bidi="ar-DZ"/>
              </w:rPr>
              <w:t>②</w:t>
            </w:r>
          </w:p>
        </w:tc>
        <w:tc>
          <w:tcPr>
            <w:tcW w:w="1429" w:type="dxa"/>
            <w:tcBorders/>
            <w:tcFitText w:val="false"/>
            <w:vAlign w:val="center"/>
          </w:tcPr>
          <w:p>
            <w:pPr>
              <w:pStyle w:val="style0"/>
              <w:tabs>
                <w:tab w:val="left" w:leader="none" w:pos="4253"/>
              </w:tabs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استعمال الخطّيّة في وضعية تناسبية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tcFitText w:val="false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_ استعمال الخطّية الجمعية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والضّربية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_ القاعدة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الثّلاثية( الرّجوع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إلى الوحدة)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مشكلات المقارنة</w:t>
            </w:r>
          </w:p>
        </w:tc>
        <w:tc>
          <w:tcPr>
            <w:tcW w:w="1544" w:type="dxa"/>
            <w:tcBorders>
              <w:left w:val="single" w:sz="4" w:space="0" w:color="auto"/>
            </w:tcBorders>
            <w:tcFitText w:val="false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>
        <w:tblPrEx/>
        <w:trPr>
          <w:trHeight w:val="1279" w:hRule="atLeast"/>
        </w:trPr>
        <w:tc>
          <w:tcPr>
            <w:tcW w:w="992" w:type="dxa"/>
            <w:vMerge w:val="continue"/>
            <w:tcBorders/>
            <w:shd w:val="clear" w:color="auto" w:fill="fef9f4"/>
            <w:tcFitText w:val="false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281" w:type="dxa"/>
            <w:vMerge w:val="restart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معالجة آنية</w:t>
            </w:r>
          </w:p>
        </w:tc>
        <w:tc>
          <w:tcPr>
            <w:tcW w:w="850" w:type="dxa"/>
            <w:vMerge w:val="continue"/>
            <w:tcBorders/>
            <w:tcFitText w:val="false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Calibri" w:cs="Calibri" w:hAnsi="Calibri"/>
                <w:sz w:val="24"/>
                <w:szCs w:val="24"/>
                <w:rtl/>
                <w:lang w:bidi="ar-DZ"/>
              </w:rPr>
              <w:t>③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tcFitText w:val="false"/>
            <w:vAlign w:val="center"/>
          </w:tcPr>
          <w:p>
            <w:pPr>
              <w:pStyle w:val="style0"/>
              <w:tabs>
                <w:tab w:val="left" w:leader="none" w:pos="4253"/>
              </w:tabs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استعمال النّسبة المئوية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حساب نسبة مئوية من عدد بكيفية سليمة في حالات بسيطة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</w:tcBorders>
            <w:tcFitText w:val="false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>
        <w:tblPrEx/>
        <w:trPr>
          <w:trHeight w:val="1262" w:hRule="atLeast"/>
        </w:trPr>
        <w:tc>
          <w:tcPr>
            <w:tcW w:w="992" w:type="dxa"/>
            <w:vMerge w:val="continue"/>
            <w:tcBorders/>
            <w:shd w:val="clear" w:color="auto" w:fill="fef9f4"/>
            <w:tcFitText w:val="false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281" w:type="dxa"/>
            <w:vMerge w:val="continue"/>
            <w:tcBorders/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 w:val="continue"/>
            <w:tcBorders/>
            <w:tcFitText w:val="false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tcFitText w:val="false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center"/>
              <w:rPr>
                <w:rFonts w:ascii="Calibri" w:cs="Calibri" w:hAnsi="Calibri"/>
                <w:sz w:val="24"/>
                <w:szCs w:val="24"/>
                <w:rtl/>
                <w:lang w:bidi="ar-DZ"/>
              </w:rPr>
            </w:pPr>
            <w:r>
              <w:rPr>
                <w:rFonts w:ascii="Calibri" w:cs="Calibri" w:hAnsi="Calibri"/>
                <w:sz w:val="24"/>
                <w:szCs w:val="24"/>
                <w:rtl/>
                <w:lang w:bidi="ar-DZ"/>
              </w:rPr>
              <w:t>④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tcFitText w:val="false"/>
            <w:vAlign w:val="center"/>
          </w:tcPr>
          <w:p>
            <w:pPr>
              <w:pStyle w:val="style0"/>
              <w:tabs>
                <w:tab w:val="left" w:leader="none" w:pos="4253"/>
              </w:tabs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التّبليغ باللّغة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الرّياضياتيّة</w:t>
            </w:r>
          </w:p>
        </w:tc>
        <w:tc>
          <w:tcPr>
            <w:tcW w:w="3828" w:type="dxa"/>
            <w:tcBorders>
              <w:top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التّفسير السّليم للوضعية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 تقديم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الإجابة الكاملة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استعمال الوحدات أو التّرميز المناسب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تنظيم الورقة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tcFitText w:val="false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>
      <w:pPr>
        <w:pStyle w:val="style157"/>
        <w:bidi/>
        <w:rPr>
          <w:rFonts w:ascii="Sakkal Majalla" w:cs="Sakkal Majalla" w:hAnsi="Sakkal Majalla"/>
          <w:b/>
          <w:bCs/>
          <w:color w:val="c0504d"/>
          <w:sz w:val="32"/>
          <w:szCs w:val="32"/>
          <w:lang w:bidi="ar-DZ"/>
        </w:rPr>
      </w:pPr>
      <w:r>
        <w:rPr>
          <w:rFonts w:ascii="Sakkal Majalla" w:cs="Sakkal Majalla" w:hAnsi="Sakkal Majalla" w:hint="cs"/>
          <w:b/>
          <w:bCs/>
          <w:noProof/>
          <w:color w:val="c0504d"/>
          <w:sz w:val="32"/>
          <w:szCs w:val="32"/>
          <w:rtl/>
          <w:lang w:val="ar-DZ" w:bidi="ar-DZ"/>
        </w:rPr>
        <w:pict>
          <v:roundrect id="1026" arcsize="0.10310185," fillcolor="#fffbf7" style="position:absolute;margin-left:8.4pt;margin-top:16.7pt;width:533.25pt;height:279.35pt;z-index:-2147483645;mso-position-horizontal-relative:text;mso-position-vertical-relative:text;mso-width-relative:page;mso-height-relative:page;mso-wrap-distance-left:0.0pt;mso-wrap-distance-right:0.0pt;visibility:visible;">
            <v:stroke weight="0.5pt"/>
            <v:fill/>
          </v:roundrect>
        </w:pict>
      </w:r>
    </w:p>
    <w:p>
      <w:pPr>
        <w:pStyle w:val="style157"/>
        <w:bidi/>
        <w:ind w:left="227"/>
        <w:rPr>
          <w:rFonts w:ascii="Sakkal Majalla" w:cs="Sakkal Majalla" w:hAnsi="Sakkal Majalla"/>
          <w:b/>
          <w:bCs/>
          <w:sz w:val="28"/>
          <w:szCs w:val="28"/>
          <w:rtl/>
          <w:lang w:bidi="ar-DZ"/>
        </w:rPr>
      </w:pPr>
      <w:r>
        <w:rPr>
          <w:rFonts w:ascii="Sakkal Majalla" w:cs="Sakkal Majalla" w:hAnsi="Sakkal Majalla" w:hint="cs"/>
          <w:b/>
          <w:bCs/>
          <w:color w:val="c0504d"/>
          <w:sz w:val="32"/>
          <w:szCs w:val="32"/>
          <w:rtl/>
          <w:lang w:bidi="ar-DZ"/>
        </w:rPr>
        <w:t xml:space="preserve">ج </w:t>
      </w:r>
      <w:r>
        <w:rPr>
          <w:rFonts w:ascii="Sakkal Majalla" w:cs="Sakkal Majalla" w:hAnsi="Sakkal Majalla"/>
          <w:b/>
          <w:bCs/>
          <w:color w:val="c0504d"/>
          <w:sz w:val="32"/>
          <w:szCs w:val="32"/>
          <w:rtl/>
          <w:lang w:bidi="ar-DZ"/>
        </w:rPr>
        <w:t>–</w:t>
      </w:r>
      <w:r>
        <w:rPr>
          <w:rFonts w:ascii="Sakkal Majalla" w:cs="Sakkal Majalla" w:hAnsi="Sakkal Majalla" w:hint="cs"/>
          <w:b/>
          <w:bCs/>
          <w:color w:val="c0504d"/>
          <w:sz w:val="32"/>
          <w:szCs w:val="32"/>
          <w:rtl/>
          <w:lang w:bidi="ar-DZ"/>
        </w:rPr>
        <w:t xml:space="preserve"> التقرير التوصيفي لصعوبات التعلم </w:t>
      </w:r>
      <w:r>
        <w:rPr>
          <w:rFonts w:ascii="Sakkal Majalla" w:cs="Sakkal Majalla" w:hAnsi="Sakkal Majalla" w:hint="cs"/>
          <w:b/>
          <w:bCs/>
          <w:color w:val="c0504d"/>
          <w:sz w:val="32"/>
          <w:szCs w:val="32"/>
          <w:rtl/>
          <w:lang w:bidi="ar-DZ"/>
        </w:rPr>
        <w:t>للفوج :</w:t>
      </w:r>
      <w:r>
        <w:rPr>
          <w:rFonts w:ascii="Sakkal Majalla" w:cs="Sakkal Majalla" w:hAnsi="Sakkal Majalla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cs="Sakkal Majalla" w:hAnsi="Sakkal Majalla"/>
          <w:b/>
          <w:bCs/>
          <w:sz w:val="28"/>
          <w:szCs w:val="28"/>
          <w:rtl/>
          <w:lang w:bidi="ar-DZ"/>
        </w:rPr>
        <w:br/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>-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>من خلال قراءة وتح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>ل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>ي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>ل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 xml:space="preserve"> البطاقة التحليلية توصلت الى : </w:t>
      </w:r>
    </w:p>
    <w:p>
      <w:pPr>
        <w:pStyle w:val="style157"/>
        <w:bidi/>
        <w:ind w:left="227"/>
        <w:rPr>
          <w:rFonts w:ascii="Sakkal Majalla" w:cs="Sakkal Majalla" w:hAnsi="Sakkal Majalla"/>
          <w:b/>
          <w:bCs/>
          <w:sz w:val="28"/>
          <w:szCs w:val="28"/>
          <w:rtl/>
          <w:lang w:bidi="ar-DZ"/>
        </w:rPr>
      </w:pP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>في الكفاءة الأولى التحكم في نظام العد والحساب سجلت أداء م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>نخفض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 xml:space="preserve"> في 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>المعيار  2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 xml:space="preserve"> و 3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 xml:space="preserve"> .</w:t>
      </w:r>
      <w:r>
        <w:rPr>
          <w:rFonts w:ascii="Sakkal Majalla" w:cs="Sakkal Majalla" w:hAnsi="Sakkal Majalla"/>
          <w:b/>
          <w:bCs/>
          <w:sz w:val="28"/>
          <w:szCs w:val="28"/>
          <w:rtl/>
          <w:lang w:bidi="ar-DZ"/>
        </w:rPr>
        <w:br/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 xml:space="preserve">في الكفاءة الثانية التحكم في المصطلحات وفي استعمال الأدوات الهندسية سجلت أداء متوسط في المعيار 2 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>.</w:t>
      </w:r>
      <w:r>
        <w:rPr>
          <w:rFonts w:ascii="Sakkal Majalla" w:cs="Sakkal Majalla" w:hAnsi="Sakkal Majalla"/>
          <w:b/>
          <w:bCs/>
          <w:sz w:val="28"/>
          <w:szCs w:val="28"/>
          <w:rtl/>
          <w:lang w:bidi="ar-DZ"/>
        </w:rPr>
        <w:br/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 xml:space="preserve">في الكفاءة الثالثة 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>التحكم في المقادير والقياس تم تسجيل 6 تلاميذ متعثرين من بين 42 تلميذ .</w:t>
      </w:r>
    </w:p>
    <w:p>
      <w:pPr>
        <w:pStyle w:val="style157"/>
        <w:bidi/>
        <w:ind w:left="227"/>
        <w:rPr>
          <w:rFonts w:ascii="Sakkal Majalla" w:cs="Sakkal Majalla" w:hAnsi="Sakkal Majalla"/>
          <w:b/>
          <w:bCs/>
          <w:sz w:val="28"/>
          <w:szCs w:val="28"/>
          <w:rtl/>
          <w:lang w:bidi="ar-DZ"/>
        </w:rPr>
      </w:pP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 xml:space="preserve">بعد هذه القراءة والتحليل تم اقتراح معالجة بيداغوجية لمعالجة هذه 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>النقائص .</w:t>
      </w:r>
    </w:p>
    <w:p>
      <w:pPr>
        <w:pStyle w:val="style157"/>
        <w:bidi/>
        <w:ind w:left="227"/>
        <w:rPr>
          <w:rFonts w:ascii="Sakkal Majalla" w:cs="Sakkal Majalla" w:hAnsi="Sakkal Majalla"/>
          <w:b/>
          <w:bCs/>
          <w:color w:val="c0504d"/>
          <w:sz w:val="32"/>
          <w:szCs w:val="32"/>
          <w:rtl/>
          <w:lang w:bidi="ar-DZ"/>
        </w:rPr>
      </w:pPr>
      <w:r>
        <w:rPr>
          <w:rFonts w:ascii="Sakkal Majalla" w:cs="Sakkal Majalla" w:hAnsi="Sakkal Majalla" w:hint="cs"/>
          <w:b/>
          <w:bCs/>
          <w:color w:val="c0504d"/>
          <w:sz w:val="32"/>
          <w:szCs w:val="32"/>
          <w:rtl/>
          <w:lang w:bidi="ar-DZ"/>
        </w:rPr>
        <w:t xml:space="preserve">- تشخيص أسباب صعوبات </w:t>
      </w:r>
      <w:r>
        <w:rPr>
          <w:rFonts w:ascii="Sakkal Majalla" w:cs="Sakkal Majalla" w:hAnsi="Sakkal Majalla" w:hint="cs"/>
          <w:b/>
          <w:bCs/>
          <w:color w:val="c0504d"/>
          <w:sz w:val="32"/>
          <w:szCs w:val="32"/>
          <w:rtl/>
          <w:lang w:bidi="ar-DZ"/>
        </w:rPr>
        <w:t>التعلم</w:t>
      </w:r>
      <w:r>
        <w:rPr>
          <w:rFonts w:ascii="Sakkal Majalla" w:cs="Sakkal Majalla" w:hAnsi="Sakkal Majalla" w:hint="cs"/>
          <w:b/>
          <w:bCs/>
          <w:color w:val="c0504d"/>
          <w:sz w:val="32"/>
          <w:szCs w:val="32"/>
          <w:rtl/>
          <w:lang w:bidi="ar-DZ"/>
        </w:rPr>
        <w:t xml:space="preserve"> :</w:t>
      </w:r>
    </w:p>
    <w:p>
      <w:pPr>
        <w:pStyle w:val="style157"/>
        <w:bidi/>
        <w:ind w:left="227"/>
        <w:rPr>
          <w:rFonts w:ascii="Sakkal Majalla" w:cs="Sakkal Majalla" w:hAnsi="Sakkal Majalla"/>
          <w:b/>
          <w:bCs/>
          <w:sz w:val="24"/>
          <w:szCs w:val="24"/>
          <w:rtl/>
          <w:lang w:bidi="ar-DZ"/>
        </w:rPr>
      </w:pP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 xml:space="preserve">-افتقار للمهارات 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>الحسابية .</w:t>
      </w:r>
      <w:r>
        <w:rPr>
          <w:rFonts w:ascii="Sakkal Majalla" w:cs="Sakkal Majalla" w:hAnsi="Sakkal Majalla"/>
          <w:b/>
          <w:bCs/>
          <w:sz w:val="28"/>
          <w:szCs w:val="28"/>
          <w:rtl/>
          <w:lang w:bidi="ar-DZ"/>
        </w:rPr>
        <w:br/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>- عدم التحكم والاستعمال السليم للأدوات الهندسية .</w:t>
      </w:r>
      <w:r>
        <w:rPr>
          <w:rFonts w:ascii="Sakkal Majalla" w:cs="Sakkal Majalla" w:hAnsi="Sakkal Majalla"/>
          <w:b/>
          <w:bCs/>
          <w:sz w:val="28"/>
          <w:szCs w:val="28"/>
          <w:rtl/>
          <w:lang w:bidi="ar-DZ"/>
        </w:rPr>
        <w:br/>
      </w:r>
      <w:r>
        <w:rPr>
          <w:rFonts w:ascii="Sakkal Majalla" w:cs="Sakkal Majalla" w:hAnsi="Sakkal Majalla" w:hint="cs"/>
          <w:b/>
          <w:bCs/>
          <w:color w:val="000000"/>
          <w:sz w:val="28"/>
          <w:szCs w:val="28"/>
          <w:rtl/>
          <w:lang w:bidi="ar-DZ"/>
        </w:rPr>
        <w:t xml:space="preserve">- </w:t>
      </w:r>
      <w:r>
        <w:rPr>
          <w:rFonts w:ascii="Sakkal Majalla" w:cs="Sakkal Majalla" w:hAnsi="Sakkal Majalla"/>
          <w:b/>
          <w:bCs/>
          <w:color w:val="000000"/>
          <w:sz w:val="28"/>
          <w:szCs w:val="28"/>
          <w:rtl/>
          <w:lang w:bidi="ar-DZ"/>
        </w:rPr>
        <w:t xml:space="preserve">عــــــــدم امتلاك المعرفة مع عدم توظيفها الجيد  </w:t>
      </w:r>
      <w:r>
        <w:rPr>
          <w:rFonts w:ascii="Sakkal Majalla" w:cs="Sakkal Majalla" w:hAnsi="Sakkal Majalla" w:hint="cs"/>
          <w:b/>
          <w:bCs/>
          <w:color w:val="000000"/>
          <w:sz w:val="28"/>
          <w:szCs w:val="28"/>
          <w:rtl/>
          <w:lang w:bidi="ar-DZ"/>
        </w:rPr>
        <w:t>.</w:t>
      </w:r>
    </w:p>
    <w:p>
      <w:pPr>
        <w:pStyle w:val="style157"/>
        <w:bidi/>
        <w:ind w:left="227"/>
        <w:rPr>
          <w:rFonts w:ascii="Sakkal Majalla" w:cs="Sakkal Majalla" w:hAnsi="Sakkal Majalla"/>
          <w:b/>
          <w:bCs/>
          <w:sz w:val="28"/>
          <w:szCs w:val="28"/>
          <w:rtl/>
          <w:lang w:bidi="ar-DZ"/>
        </w:rPr>
      </w:pP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 xml:space="preserve">-صعوبة في 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>التّفسير السّليم للوضعي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 xml:space="preserve">ات وتوظيف المصطلحات 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>الرياضية .</w:t>
      </w:r>
    </w:p>
    <w:p>
      <w:pPr>
        <w:pStyle w:val="style157"/>
        <w:bidi/>
        <w:ind w:left="227"/>
        <w:rPr>
          <w:rFonts w:ascii="Sakkal Majalla" w:cs="Sakkal Majalla" w:hAnsi="Sakkal Majalla"/>
          <w:b/>
          <w:bCs/>
          <w:sz w:val="24"/>
          <w:szCs w:val="24"/>
          <w:rtl/>
          <w:lang w:bidi="ar-DZ"/>
        </w:rPr>
      </w:pPr>
      <w:r>
        <w:rPr>
          <w:rFonts w:ascii="Sakkal Majalla" w:cs="Sakkal Majalla" w:hAnsi="Sakkal Majalla"/>
          <w:b/>
          <w:bCs/>
          <w:color w:val="c0504d"/>
          <w:sz w:val="32"/>
          <w:szCs w:val="32"/>
          <w:rtl/>
          <w:lang w:bidi="ar-DZ"/>
        </w:rPr>
        <w:t>–</w:t>
      </w:r>
      <w:r>
        <w:rPr>
          <w:rFonts w:ascii="Sakkal Majalla" w:cs="Sakkal Majalla" w:hAnsi="Sakkal Majalla" w:hint="cs"/>
          <w:b/>
          <w:bCs/>
          <w:color w:val="c0504d"/>
          <w:sz w:val="32"/>
          <w:szCs w:val="32"/>
          <w:rtl/>
          <w:lang w:bidi="ar-DZ"/>
        </w:rPr>
        <w:t xml:space="preserve"> </w:t>
      </w:r>
      <w:r>
        <w:rPr>
          <w:rFonts w:ascii="Sakkal Majalla" w:cs="Sakkal Majalla" w:hAnsi="Sakkal Majalla" w:hint="cs"/>
          <w:b/>
          <w:bCs/>
          <w:color w:val="c0504d"/>
          <w:sz w:val="32"/>
          <w:szCs w:val="32"/>
          <w:rtl/>
          <w:lang w:bidi="ar-DZ"/>
        </w:rPr>
        <w:t xml:space="preserve">بناء أنشطة </w:t>
      </w:r>
      <w:r>
        <w:rPr>
          <w:rFonts w:ascii="Sakkal Majalla" w:cs="Sakkal Majalla" w:hAnsi="Sakkal Majalla" w:hint="cs"/>
          <w:b/>
          <w:bCs/>
          <w:color w:val="c0504d"/>
          <w:sz w:val="32"/>
          <w:szCs w:val="32"/>
          <w:rtl/>
          <w:lang w:bidi="ar-DZ"/>
        </w:rPr>
        <w:t>المعالجة :</w:t>
      </w:r>
      <w:r>
        <w:rPr>
          <w:rFonts w:ascii="Sakkal Majalla" w:cs="Sakkal Majalla" w:hAnsi="Sakkal Majalla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cs="Sakkal Majalla" w:hAnsi="Sakkal Majalla"/>
          <w:b/>
          <w:bCs/>
          <w:sz w:val="28"/>
          <w:szCs w:val="28"/>
          <w:rtl/>
          <w:lang w:bidi="ar-DZ"/>
        </w:rPr>
        <w:br/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>اقتراح أنشطة هادفة وبسيطة فيها تدرج في طرح الأسئلة من السهلة والمباشرة الى المركبة .</w:t>
      </w:r>
    </w:p>
    <w:sectPr>
      <w:pgSz w:w="11906" w:h="16838" w:orient="portrait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696C7C8"/>
    <w:lvl w:ilvl="0" w:tplc="1ABAA014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3" w:hanging="360"/>
      </w:pPr>
    </w:lvl>
    <w:lvl w:ilvl="2" w:tplc="040C001B" w:tentative="1">
      <w:start w:val="1"/>
      <w:numFmt w:val="lowerRoman"/>
      <w:lvlText w:val="%3."/>
      <w:lvlJc w:val="right"/>
      <w:pPr>
        <w:ind w:left="1913" w:hanging="180"/>
      </w:pPr>
    </w:lvl>
    <w:lvl w:ilvl="3" w:tplc="040C000F" w:tentative="1">
      <w:start w:val="1"/>
      <w:numFmt w:val="decimal"/>
      <w:lvlText w:val="%4."/>
      <w:lvlJc w:val="left"/>
      <w:pPr>
        <w:ind w:left="2633" w:hanging="360"/>
      </w:pPr>
    </w:lvl>
    <w:lvl w:ilvl="4" w:tplc="040C0019" w:tentative="1">
      <w:start w:val="1"/>
      <w:numFmt w:val="lowerLetter"/>
      <w:lvlText w:val="%5."/>
      <w:lvlJc w:val="left"/>
      <w:pPr>
        <w:ind w:left="3353" w:hanging="360"/>
      </w:pPr>
    </w:lvl>
    <w:lvl w:ilvl="5" w:tplc="040C001B" w:tentative="1">
      <w:start w:val="1"/>
      <w:numFmt w:val="lowerRoman"/>
      <w:lvlText w:val="%6."/>
      <w:lvlJc w:val="right"/>
      <w:pPr>
        <w:ind w:left="4073" w:hanging="180"/>
      </w:pPr>
    </w:lvl>
    <w:lvl w:ilvl="6" w:tplc="040C000F" w:tentative="1">
      <w:start w:val="1"/>
      <w:numFmt w:val="decimal"/>
      <w:lvlText w:val="%7."/>
      <w:lvlJc w:val="left"/>
      <w:pPr>
        <w:ind w:left="4793" w:hanging="360"/>
      </w:pPr>
    </w:lvl>
    <w:lvl w:ilvl="7" w:tplc="040C0019" w:tentative="1">
      <w:start w:val="1"/>
      <w:numFmt w:val="lowerLetter"/>
      <w:lvlText w:val="%8."/>
      <w:lvlJc w:val="left"/>
      <w:pPr>
        <w:ind w:left="5513" w:hanging="360"/>
      </w:pPr>
    </w:lvl>
    <w:lvl w:ilvl="8" w:tplc="040C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00000001"/>
    <w:multiLevelType w:val="hybridMultilevel"/>
    <w:tmpl w:val="0772F386"/>
    <w:lvl w:ilvl="0" w:tplc="35C4EE6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AED0EBB4"/>
    <w:lvl w:ilvl="0" w:tplc="040C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87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47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07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D690FF50"/>
    <w:lvl w:ilvl="0" w:tplc="82543F82">
      <w:start w:val="1"/>
      <w:numFmt w:val="bullet"/>
      <w:lvlText w:val="-"/>
      <w:lvlJc w:val="left"/>
      <w:pPr>
        <w:ind w:left="720" w:hanging="360"/>
      </w:pPr>
      <w:rPr>
        <w:rFonts w:ascii="Sakkal Majalla" w:cs="Sakkal Majalla" w:hAnsi="Sakkal Majalla" w:hint="default" w:eastAsiaTheme="minor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BE6EF1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2"/>
  <w:embedTrueTypeFont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bidi="ar-SA" w:eastAsia="fr-FR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156">
    <w:name w:val="Placeholder Text"/>
    <w:basedOn w:val="style65"/>
    <w:next w:val="style156"/>
    <w:uiPriority w:val="99"/>
    <w:rPr>
      <w:color w:val="66666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717</Words>
  <Characters>3891</Characters>
  <Application>WPS Office</Application>
  <DocSecurity>0</DocSecurity>
  <Paragraphs>200</Paragraphs>
  <ScaleCrop>false</ScaleCrop>
  <LinksUpToDate>false</LinksUpToDate>
  <CharactersWithSpaces>4835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2025-09-30T16:04:44Z</dcterms:created>
  <dc:creator>LENOVO</dc:creator>
  <lastModifiedBy>CPH1701</lastModifiedBy>
  <lastPrinted>2024-10-08T18:18:00Z</lastPrinted>
  <dcterms:modified xsi:type="dcterms:W3CDTF">2025-09-30T16:04:44Z</dcterms:modified>
  <revision>56</revision>
</coreProperties>
</file>